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w:t>
      </w:r>
      <w:r>
        <w:rPr>
          <w:rFonts w:hint="eastAsia" w:ascii="仿宋" w:hAnsi="仿宋" w:eastAsia="仿宋" w:cs="仿宋"/>
          <w:b/>
          <w:bCs/>
          <w:sz w:val="44"/>
          <w:szCs w:val="44"/>
          <w:u w:val="single"/>
        </w:rPr>
        <w:t>Ⅱ</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50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w:t>
      </w:r>
      <w:r>
        <w:rPr>
          <w:rFonts w:hint="eastAsia" w:ascii="仿宋" w:hAnsi="仿宋" w:eastAsia="仿宋" w:cs="仿宋"/>
          <w:b/>
          <w:bCs/>
          <w:sz w:val="24"/>
          <w:szCs w:val="24"/>
          <w:u w:val="single"/>
        </w:rPr>
        <w:t>Ⅱ</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50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50</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218.70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0.15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5.61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16;HRB400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0.88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8.684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157.28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2.67</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65.07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5.87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17.14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10.11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0.49</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1.97</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9.06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62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3.10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8.89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3.20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厚度8mm;Q235B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厚度10mm;Q235B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厚度12mm;Q235B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等边角钢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63*6;Q235B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光圆钢筋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8mm；HPB300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7.33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GB/T1499.2-2018；品牌：相当于宝钢、鞍钢、首钢、山钢等大厂产品</w:t>
            </w:r>
            <w:bookmarkStart w:id="0" w:name="_GoBack"/>
            <w:bookmarkEnd w:id="0"/>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2024-04-16T08:29:27Z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